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4577B2" w14:textId="77777777" w:rsidR="00C35408" w:rsidRDefault="001D3432">
      <w:pPr>
        <w:pBdr>
          <w:top w:val="none" w:sz="0" w:space="0" w:color="FFFFFF"/>
          <w:left w:val="none" w:sz="0" w:space="0" w:color="FFFFFF"/>
          <w:bottom w:val="single" w:sz="6" w:space="6" w:color="2E75B6"/>
          <w:right w:val="none" w:sz="0" w:space="0" w:color="FFFFFF"/>
        </w:pBdr>
        <w:spacing w:after="60"/>
      </w:pPr>
      <w:r>
        <w:rPr>
          <w:b/>
          <w:bCs/>
          <w:color w:val="1F3864"/>
          <w:sz w:val="36"/>
          <w:szCs w:val="36"/>
        </w:rPr>
        <w:t>Was gegen Krebs schützt, schützt auch die Gefäße</w:t>
      </w:r>
    </w:p>
    <w:p w14:paraId="7B0DE338" w14:textId="77777777" w:rsidR="00C35408" w:rsidRDefault="001D3432">
      <w:pPr>
        <w:spacing w:after="40"/>
      </w:pPr>
      <w:r>
        <w:rPr>
          <w:color w:val="595959"/>
          <w:sz w:val="23"/>
          <w:szCs w:val="23"/>
        </w:rPr>
        <w:t>Gemeinsame biologische Grundlagen von Krebs- und Gefäßprävention – und die ernährungsbezogenen Konsequenzen</w:t>
      </w:r>
    </w:p>
    <w:p w14:paraId="5ED2C956" w14:textId="77777777" w:rsidR="00C35408" w:rsidRDefault="001D3432">
      <w:pPr>
        <w:spacing w:after="240"/>
      </w:pPr>
      <w:r>
        <w:rPr>
          <w:i/>
          <w:iCs/>
          <w:color w:val="595959"/>
          <w:sz w:val="18"/>
          <w:szCs w:val="18"/>
        </w:rPr>
        <w:t xml:space="preserve">Ein allgemeines </w:t>
      </w:r>
      <w:proofErr w:type="gramStart"/>
      <w:r>
        <w:rPr>
          <w:i/>
          <w:iCs/>
          <w:color w:val="595959"/>
          <w:sz w:val="18"/>
          <w:szCs w:val="18"/>
        </w:rPr>
        <w:t>Rahmenkonzept  ·</w:t>
      </w:r>
      <w:proofErr w:type="gramEnd"/>
      <w:r>
        <w:rPr>
          <w:i/>
          <w:iCs/>
          <w:color w:val="595959"/>
          <w:sz w:val="18"/>
          <w:szCs w:val="18"/>
        </w:rPr>
        <w:t xml:space="preserve">  Stand: 2026</w:t>
      </w:r>
    </w:p>
    <w:p w14:paraId="5782DAF5" w14:textId="77777777" w:rsidR="00C35408" w:rsidRDefault="001D3432">
      <w:pPr>
        <w:pBdr>
          <w:top w:val="single" w:sz="4" w:space="6" w:color="2E75B6"/>
          <w:left w:val="single" w:sz="4" w:space="6" w:color="2E75B6"/>
          <w:bottom w:val="single" w:sz="4" w:space="6" w:color="2E75B6"/>
          <w:right w:val="single" w:sz="4" w:space="6" w:color="2E75B6"/>
        </w:pBdr>
        <w:shd w:val="clear" w:color="auto" w:fill="D9E2F3"/>
        <w:spacing w:before="60" w:after="240" w:line="276" w:lineRule="auto"/>
      </w:pPr>
      <w:r>
        <w:rPr>
          <w:b/>
          <w:bCs/>
          <w:color w:val="1F3864"/>
        </w:rPr>
        <w:t xml:space="preserve">Einordnung.  </w:t>
      </w:r>
      <w:r>
        <w:t xml:space="preserve">Für keine präventive Ernährungsstrategie existieren randomisierte Langzeitstudien mit harten Endpunkten in beiden Krankheitsfeldern zugleich. Das Folgende ist eine Synthese aus </w:t>
      </w:r>
      <w:proofErr w:type="spellStart"/>
      <w:r>
        <w:t>Mechanismusforschung</w:t>
      </w:r>
      <w:proofErr w:type="spellEnd"/>
      <w:r>
        <w:t>, epidemiologischen Assoziationen und Surrogat-Studien – ein evidenzinformiertes Rahmenkonzept, kein individuelles Behandlungsprotokoll. Konkrete Maßnahmen gehören in eine ärztliche Beratung, die Alter, Vorerkrankungen und Medikation berücksichtigt.</w:t>
      </w:r>
    </w:p>
    <w:p w14:paraId="5216C65D" w14:textId="77777777" w:rsidR="00C35408" w:rsidRDefault="001D3432">
      <w:pPr>
        <w:pStyle w:val="berschrift1"/>
      </w:pPr>
      <w:r>
        <w:t>1. Die Leitthese</w:t>
      </w:r>
    </w:p>
    <w:p w14:paraId="4EC4C410" w14:textId="77777777" w:rsidR="00C35408" w:rsidRDefault="001D3432">
      <w:pPr>
        <w:spacing w:after="120" w:line="276" w:lineRule="auto"/>
      </w:pPr>
      <w:r>
        <w:t xml:space="preserve">Krebs und atherosklerotische Gefäßerkrankungen gelten klinisch als getrennte Welten – die zugrunde liegende Biologie überlappt jedoch erheblich. Beide sind chronische, alters- und lebensstilassoziierte Erkrankungen, die auf einem gemeinsamen Boden aus </w:t>
      </w:r>
      <w:r>
        <w:rPr>
          <w:b/>
          <w:bCs/>
        </w:rPr>
        <w:t>niedriggradiger Entzündung, endothelialer Dysfunktion, Insulinresistenz, oxidativem Stress und überaktivem Wachstums-/</w:t>
      </w:r>
      <w:proofErr w:type="spellStart"/>
      <w:r>
        <w:rPr>
          <w:b/>
          <w:bCs/>
        </w:rPr>
        <w:t>Nährstoffsignaling</w:t>
      </w:r>
      <w:proofErr w:type="spellEnd"/>
      <w:r>
        <w:t xml:space="preserve"> entstehen. Maßnahmen, die diesen gemeinsamen Boden verbessern, wirken daher in beide Richtungen zugleich.</w:t>
      </w:r>
    </w:p>
    <w:p w14:paraId="6DA27154" w14:textId="77777777" w:rsidR="00C35408" w:rsidRDefault="001D3432">
      <w:pPr>
        <w:spacing w:after="120" w:line="276" w:lineRule="auto"/>
      </w:pPr>
      <w:r>
        <w:rPr>
          <w:b/>
          <w:bCs/>
        </w:rPr>
        <w:t xml:space="preserve">Praktische Konsequenz: </w:t>
      </w:r>
      <w:r>
        <w:t>Man muss nicht zwischen einer „Anti-Krebs-Diät“ und einer „Herz-Kreislauf-Diät“ wählen. Das gleiche, gut belegte Ernährungs- und Lebensstilmuster adressiert beide. Diese Konvergenz ist die eigentliche Botschaft – nicht ein einzelnes „Superfood“ oder ein exotisches Protokoll.</w:t>
      </w:r>
    </w:p>
    <w:p w14:paraId="0BE2835A" w14:textId="77777777" w:rsidR="00C35408" w:rsidRDefault="001D3432">
      <w:pPr>
        <w:pStyle w:val="berschrift1"/>
      </w:pPr>
      <w:r>
        <w:t>2. Die gemeinsamen Mechanismen</w:t>
      </w:r>
    </w:p>
    <w:p w14:paraId="0BD5D376" w14:textId="77777777" w:rsidR="00C35408" w:rsidRDefault="001D3432">
      <w:pPr>
        <w:spacing w:after="120" w:line="276" w:lineRule="auto"/>
      </w:pPr>
      <w:r>
        <w:t>Fünf biologische Achsen verbinden die beiden Krankheitsfelder. Jede ist durch Ernährung und Lebensstil modifizierbar.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0"/>
        <w:gridCol w:w="3330"/>
        <w:gridCol w:w="3330"/>
      </w:tblGrid>
      <w:tr w:rsidR="00C35408" w14:paraId="27889623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70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shd w:val="clear" w:color="auto" w:fill="1F386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51E1F73" w14:textId="77777777" w:rsidR="00C35408" w:rsidRDefault="001D3432">
            <w:r>
              <w:rPr>
                <w:b/>
                <w:bCs/>
                <w:color w:val="FFFFFF"/>
                <w:sz w:val="20"/>
                <w:szCs w:val="20"/>
              </w:rPr>
              <w:t>Achse</w:t>
            </w:r>
          </w:p>
        </w:tc>
        <w:tc>
          <w:tcPr>
            <w:tcW w:w="333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shd w:val="clear" w:color="auto" w:fill="1F386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FA9407E" w14:textId="77777777" w:rsidR="00C35408" w:rsidRDefault="001D3432">
            <w:r>
              <w:rPr>
                <w:b/>
                <w:bCs/>
                <w:color w:val="FFFFFF"/>
                <w:sz w:val="20"/>
                <w:szCs w:val="20"/>
              </w:rPr>
              <w:t>Rolle bei Krebs</w:t>
            </w:r>
          </w:p>
        </w:tc>
        <w:tc>
          <w:tcPr>
            <w:tcW w:w="333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shd w:val="clear" w:color="auto" w:fill="1F386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B1BE0B6" w14:textId="77777777" w:rsidR="00C35408" w:rsidRDefault="001D3432">
            <w:r>
              <w:rPr>
                <w:b/>
                <w:bCs/>
                <w:color w:val="FFFFFF"/>
                <w:sz w:val="20"/>
                <w:szCs w:val="20"/>
              </w:rPr>
              <w:t>Rolle bei Gefäßerkrankung</w:t>
            </w:r>
          </w:p>
        </w:tc>
      </w:tr>
      <w:tr w:rsidR="00C35408" w14:paraId="70A5AE2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shd w:val="clear" w:color="auto" w:fill="F2F6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DF48578" w14:textId="77777777" w:rsidR="00C35408" w:rsidRDefault="001D3432">
            <w:r>
              <w:rPr>
                <w:b/>
                <w:bCs/>
              </w:rPr>
              <w:t>Chronische Entzündung</w:t>
            </w:r>
          </w:p>
        </w:tc>
        <w:tc>
          <w:tcPr>
            <w:tcW w:w="333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8B134BE" w14:textId="74935A3D" w:rsidR="00C35408" w:rsidRDefault="001D3432">
            <w:r>
              <w:t xml:space="preserve">Fördert Tumorinitiation, -progression und </w:t>
            </w:r>
            <w:r w:rsidR="009F14DB">
              <w:t>-metastasierung</w:t>
            </w:r>
            <w:r>
              <w:t>; Entzündungsmediatoren unterstützen das Mikromilieu des Tumors.</w:t>
            </w:r>
          </w:p>
        </w:tc>
        <w:tc>
          <w:tcPr>
            <w:tcW w:w="333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shd w:val="clear" w:color="auto" w:fill="F2F6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41494B" w14:textId="4114B362" w:rsidR="00C35408" w:rsidRDefault="001D3432">
            <w:r>
              <w:t xml:space="preserve">Treibt die atherosklerotische Plaquebildung und -instabilität; Inflammation </w:t>
            </w:r>
            <w:r w:rsidR="009F14DB">
              <w:t>gilt heute als eigenständiger kardiovaskulärer Risikofaktor</w:t>
            </w:r>
            <w:r>
              <w:t>.</w:t>
            </w:r>
          </w:p>
        </w:tc>
      </w:tr>
      <w:tr w:rsidR="00C35408" w14:paraId="02C6C07B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F168A80" w14:textId="77777777" w:rsidR="00C35408" w:rsidRDefault="001D3432">
            <w:r>
              <w:rPr>
                <w:b/>
                <w:bCs/>
              </w:rPr>
              <w:t>Endotheliale Dysfunktion</w:t>
            </w:r>
          </w:p>
        </w:tc>
        <w:tc>
          <w:tcPr>
            <w:tcW w:w="333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CC07DF" w14:textId="53056844" w:rsidR="00C35408" w:rsidRDefault="001D3432">
            <w:proofErr w:type="spellStart"/>
            <w:r>
              <w:t>Tumorangiogenese</w:t>
            </w:r>
            <w:proofErr w:type="spellEnd"/>
            <w:r>
              <w:t xml:space="preserve"> und Gefäßneubildung versorgen wachsende Tumoren; verändertes Endothel begünstigt </w:t>
            </w:r>
            <w:r w:rsidR="009F14DB">
              <w:t xml:space="preserve">die </w:t>
            </w:r>
            <w:r>
              <w:t>Streuung.</w:t>
            </w:r>
          </w:p>
        </w:tc>
        <w:tc>
          <w:tcPr>
            <w:tcW w:w="333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56D8C5" w14:textId="77777777" w:rsidR="00C35408" w:rsidRDefault="001D3432">
            <w:r>
              <w:t>Endotheldysfunktion ist der früheste Schritt der Atherosklerose – noch vor der sichtbaren Plaque.</w:t>
            </w:r>
          </w:p>
        </w:tc>
      </w:tr>
      <w:tr w:rsidR="00C35408" w14:paraId="5D860BF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shd w:val="clear" w:color="auto" w:fill="F2F6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DD2EA07" w14:textId="77777777" w:rsidR="00C35408" w:rsidRDefault="001D3432">
            <w:r>
              <w:rPr>
                <w:b/>
                <w:bCs/>
              </w:rPr>
              <w:lastRenderedPageBreak/>
              <w:t>Insulinresistenz / Hyperinsulinämie</w:t>
            </w:r>
          </w:p>
        </w:tc>
        <w:tc>
          <w:tcPr>
            <w:tcW w:w="333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F68E2FD" w14:textId="4071B18E" w:rsidR="00C35408" w:rsidRDefault="009F14DB">
            <w:r>
              <w:t>Erhöhte Insulin- und IGF-1-Spiegel</w:t>
            </w:r>
            <w:r w:rsidR="001D3432">
              <w:t xml:space="preserve"> wirken als Wachstumssignale; Adipositas und Diabetes erhöhen das Risiko mehrerer Karzinome.</w:t>
            </w:r>
          </w:p>
        </w:tc>
        <w:tc>
          <w:tcPr>
            <w:tcW w:w="333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shd w:val="clear" w:color="auto" w:fill="F2F6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5D8E997" w14:textId="002D5503" w:rsidR="00C35408" w:rsidRDefault="001D3432">
            <w:r>
              <w:t xml:space="preserve">Insulinresistenz fördert Dyslipidämie, Hypertonie und Endothelschädigung – </w:t>
            </w:r>
            <w:r w:rsidR="009F14DB">
              <w:t>das metabolische</w:t>
            </w:r>
            <w:r>
              <w:t xml:space="preserve"> Syndrom als Kerntreiber.</w:t>
            </w:r>
          </w:p>
        </w:tc>
      </w:tr>
      <w:tr w:rsidR="00C35408" w14:paraId="219D4AB7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86C358" w14:textId="77777777" w:rsidR="00C35408" w:rsidRDefault="001D3432">
            <w:r>
              <w:rPr>
                <w:b/>
                <w:bCs/>
              </w:rPr>
              <w:t>Oxidativer Stress</w:t>
            </w:r>
          </w:p>
        </w:tc>
        <w:tc>
          <w:tcPr>
            <w:tcW w:w="333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F011064" w14:textId="77777777" w:rsidR="00C35408" w:rsidRDefault="001D3432">
            <w:r>
              <w:t>DNA-Schädigung und Mutagenese; Förderung der Zelltransformation.</w:t>
            </w:r>
          </w:p>
        </w:tc>
        <w:tc>
          <w:tcPr>
            <w:tcW w:w="333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6DE84E7" w14:textId="7AFC1ABD" w:rsidR="00C35408" w:rsidRDefault="009F14DB">
            <w:r>
              <w:t xml:space="preserve">Die Oxidation von LDL ist ein Schlüsselschritt der </w:t>
            </w:r>
            <w:proofErr w:type="spellStart"/>
            <w:r>
              <w:t>Plaqueentstehung</w:t>
            </w:r>
            <w:proofErr w:type="spellEnd"/>
            <w:r>
              <w:t xml:space="preserve"> und</w:t>
            </w:r>
            <w:r w:rsidR="001D3432">
              <w:t xml:space="preserve"> Schädigung der Gefäßwand.</w:t>
            </w:r>
          </w:p>
        </w:tc>
      </w:tr>
      <w:tr w:rsidR="00C35408" w14:paraId="0661545B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shd w:val="clear" w:color="auto" w:fill="F2F6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A481C2F" w14:textId="77777777" w:rsidR="00C35408" w:rsidRDefault="001D3432">
            <w:r>
              <w:rPr>
                <w:b/>
                <w:bCs/>
              </w:rPr>
              <w:t>Wachstums-/</w:t>
            </w:r>
            <w:proofErr w:type="spellStart"/>
            <w:r>
              <w:rPr>
                <w:b/>
                <w:bCs/>
              </w:rPr>
              <w:t>Nährstoffsignaling</w:t>
            </w:r>
            <w:proofErr w:type="spellEnd"/>
            <w:r>
              <w:rPr>
                <w:b/>
                <w:bCs/>
              </w:rPr>
              <w:t xml:space="preserve"> (mTOR, IGF-1)</w:t>
            </w:r>
          </w:p>
        </w:tc>
        <w:tc>
          <w:tcPr>
            <w:tcW w:w="333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B6DF86A" w14:textId="11817D41" w:rsidR="00C35408" w:rsidRDefault="001D3432">
            <w:r>
              <w:t xml:space="preserve">Treibt </w:t>
            </w:r>
            <w:r w:rsidR="009F14DB">
              <w:t>die Zellproliferation; die</w:t>
            </w:r>
            <w:r>
              <w:t xml:space="preserve"> Hemmung dieser Achse ist ein etabliertes onkologisches und </w:t>
            </w:r>
            <w:proofErr w:type="spellStart"/>
            <w:r>
              <w:t>geroprotektives</w:t>
            </w:r>
            <w:proofErr w:type="spellEnd"/>
            <w:r>
              <w:t xml:space="preserve"> Prinzip.</w:t>
            </w:r>
          </w:p>
        </w:tc>
        <w:tc>
          <w:tcPr>
            <w:tcW w:w="333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shd w:val="clear" w:color="auto" w:fill="F2F6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DFBCF8" w14:textId="64588747" w:rsidR="00C35408" w:rsidRDefault="001D3432">
            <w:r>
              <w:t xml:space="preserve">Beeinflusst </w:t>
            </w:r>
            <w:r w:rsidR="009F14DB">
              <w:t>die Gefäßzellproliferation und die</w:t>
            </w:r>
            <w:r>
              <w:t xml:space="preserve"> </w:t>
            </w:r>
            <w:proofErr w:type="spellStart"/>
            <w:r>
              <w:t>Plaquebiologie</w:t>
            </w:r>
            <w:proofErr w:type="spellEnd"/>
            <w:r>
              <w:t xml:space="preserve">; metabolische Gesundheit ist </w:t>
            </w:r>
            <w:proofErr w:type="spellStart"/>
            <w:r>
              <w:t>gefäßprotektiv</w:t>
            </w:r>
            <w:proofErr w:type="spellEnd"/>
            <w:r>
              <w:t>.</w:t>
            </w:r>
          </w:p>
        </w:tc>
      </w:tr>
    </w:tbl>
    <w:p w14:paraId="5EEDEDDD" w14:textId="77777777" w:rsidR="00C35408" w:rsidRDefault="001D3432">
      <w:pPr>
        <w:pStyle w:val="berschrift1"/>
      </w:pPr>
      <w:r>
        <w:t>3. Wo Prävention konvergiert – die gemeinsamen Hebel</w:t>
      </w:r>
    </w:p>
    <w:p w14:paraId="68CB2A13" w14:textId="77777777" w:rsidR="00C35408" w:rsidRDefault="001D3432">
      <w:pPr>
        <w:spacing w:after="120" w:line="276" w:lineRule="auto"/>
      </w:pPr>
      <w:r>
        <w:t>Aus den gemeinsamen Mechanismen ergeben sich Maßnahmen, die in beiden Feldern dieselbe Richtung weisen:</w:t>
      </w:r>
    </w:p>
    <w:p w14:paraId="5519FF3B" w14:textId="77777777" w:rsidR="00C35408" w:rsidRDefault="001D3432">
      <w:pPr>
        <w:pStyle w:val="Listenabsatz"/>
        <w:numPr>
          <w:ilvl w:val="0"/>
          <w:numId w:val="2"/>
        </w:numPr>
        <w:spacing w:after="60" w:line="276" w:lineRule="auto"/>
      </w:pPr>
      <w:r>
        <w:rPr>
          <w:b/>
          <w:bCs/>
        </w:rPr>
        <w:t xml:space="preserve">Überwiegend pflanzliche Ernährung: </w:t>
      </w:r>
      <w:r>
        <w:t xml:space="preserve">Gemüse, Hülsenfrüchte, Vollkorn, Nüsse, Obst – reich an Ballaststoffen und Polyphenolen, entzündungssenkend und </w:t>
      </w:r>
      <w:proofErr w:type="spellStart"/>
      <w:r>
        <w:t>gefäßprotektiv</w:t>
      </w:r>
      <w:proofErr w:type="spellEnd"/>
      <w:r>
        <w:t>. Der breiteste, am besten gestützte Einzelhebel für beide Felder.</w:t>
      </w:r>
    </w:p>
    <w:p w14:paraId="61615C97" w14:textId="6CE7AD5D" w:rsidR="00C35408" w:rsidRDefault="001D3432">
      <w:pPr>
        <w:pStyle w:val="Listenabsatz"/>
        <w:numPr>
          <w:ilvl w:val="0"/>
          <w:numId w:val="2"/>
        </w:numPr>
        <w:spacing w:after="60" w:line="276" w:lineRule="auto"/>
      </w:pPr>
      <w:r>
        <w:rPr>
          <w:b/>
          <w:bCs/>
        </w:rPr>
        <w:t xml:space="preserve">Gesundes Körpergewicht / Vermeidung von Adipositas: </w:t>
      </w:r>
      <w:r>
        <w:t xml:space="preserve">Adipositas ist einer der stärksten modifizierbaren Risikofaktoren – sowohl für mehrere Krebsarten als auch für Atherosklerose. Energiebalance wirkt über alle fünf genannten Achsen </w:t>
      </w:r>
      <w:r w:rsidR="009F14DB">
        <w:t>hinweg</w:t>
      </w:r>
      <w:r>
        <w:t>.</w:t>
      </w:r>
    </w:p>
    <w:p w14:paraId="6F29E4BE" w14:textId="223FE158" w:rsidR="00C35408" w:rsidRDefault="001D3432">
      <w:pPr>
        <w:pStyle w:val="Listenabsatz"/>
        <w:numPr>
          <w:ilvl w:val="0"/>
          <w:numId w:val="2"/>
        </w:numPr>
        <w:spacing w:after="60" w:line="276" w:lineRule="auto"/>
      </w:pPr>
      <w:r>
        <w:rPr>
          <w:b/>
          <w:bCs/>
        </w:rPr>
        <w:t xml:space="preserve">Ballaststoffe und niedrige glykämische Last: </w:t>
      </w:r>
      <w:r>
        <w:t xml:space="preserve">verbessern die Insulinsensitivität, senken </w:t>
      </w:r>
      <w:r w:rsidR="009F14DB">
        <w:t>die Hyperinsulinämie und schützen den Darm – metabolisch und kolorektal präventiv</w:t>
      </w:r>
      <w:r>
        <w:t>.</w:t>
      </w:r>
    </w:p>
    <w:p w14:paraId="35394FB3" w14:textId="77777777" w:rsidR="00C35408" w:rsidRDefault="001D3432">
      <w:pPr>
        <w:pStyle w:val="Listenabsatz"/>
        <w:numPr>
          <w:ilvl w:val="0"/>
          <w:numId w:val="2"/>
        </w:numPr>
        <w:spacing w:after="60" w:line="276" w:lineRule="auto"/>
      </w:pPr>
      <w:r>
        <w:rPr>
          <w:b/>
          <w:bCs/>
        </w:rPr>
        <w:t xml:space="preserve">Ungesättigte statt gesättigter Fette: </w:t>
      </w:r>
      <w:r>
        <w:t>Olivenöl, Nüsse, fetter Seefisch (EPA/DHA) statt Butter und verarbeitetem Fleisch – die Ersatzfrage senkt kardiovaskuläres Risiko und reduziert pro-inflammatorische Last.</w:t>
      </w:r>
    </w:p>
    <w:p w14:paraId="72B35779" w14:textId="72A4FDDF" w:rsidR="00C35408" w:rsidRDefault="001D3432">
      <w:pPr>
        <w:pStyle w:val="Listenabsatz"/>
        <w:numPr>
          <w:ilvl w:val="0"/>
          <w:numId w:val="2"/>
        </w:numPr>
        <w:spacing w:after="60" w:line="276" w:lineRule="auto"/>
      </w:pPr>
      <w:r>
        <w:rPr>
          <w:b/>
          <w:bCs/>
        </w:rPr>
        <w:t>Begrenzung von Alkohol</w:t>
      </w:r>
      <w:r w:rsidR="009F14DB">
        <w:rPr>
          <w:b/>
          <w:bCs/>
        </w:rPr>
        <w:t xml:space="preserve"> und rotem Fleisch: Alkohol und rotes</w:t>
      </w:r>
      <w:r>
        <w:t xml:space="preserve"> Fleisch sind als krebserregend eingestuft (IARC) und zugleich kardiovaskulär ungünstig.</w:t>
      </w:r>
    </w:p>
    <w:p w14:paraId="652FA7CE" w14:textId="2F4F0398" w:rsidR="00C35408" w:rsidRDefault="001D3432">
      <w:pPr>
        <w:pStyle w:val="Listenabsatz"/>
        <w:numPr>
          <w:ilvl w:val="0"/>
          <w:numId w:val="2"/>
        </w:numPr>
        <w:spacing w:after="60" w:line="276" w:lineRule="auto"/>
      </w:pPr>
      <w:r>
        <w:rPr>
          <w:b/>
          <w:bCs/>
        </w:rPr>
        <w:t xml:space="preserve">Körperliche Aktivität: </w:t>
      </w:r>
      <w:r>
        <w:t xml:space="preserve">senkt </w:t>
      </w:r>
      <w:r w:rsidR="009F14DB">
        <w:t>Entzündungen</w:t>
      </w:r>
      <w:r>
        <w:t xml:space="preserve">, verbessert </w:t>
      </w:r>
      <w:r w:rsidR="009F14DB">
        <w:t>die Endothelfunktion und die</w:t>
      </w:r>
      <w:r>
        <w:t xml:space="preserve"> Insulinsensitivität – einer der wenigen Hebel mit Evidenz in beiden Feldern, unabhängig von der Ernährung.</w:t>
      </w:r>
    </w:p>
    <w:p w14:paraId="70456492" w14:textId="77777777" w:rsidR="00C35408" w:rsidRDefault="001D3432">
      <w:pPr>
        <w:pStyle w:val="berschrift1"/>
      </w:pPr>
      <w:r>
        <w:t>4. Wo die These an Grenzen stößt – ehrliche Divergenzen</w:t>
      </w:r>
    </w:p>
    <w:p w14:paraId="313033F8" w14:textId="77777777" w:rsidR="00C35408" w:rsidRDefault="001D3432">
      <w:pPr>
        <w:spacing w:after="120" w:line="276" w:lineRule="auto"/>
      </w:pPr>
      <w:r>
        <w:t>Die Konvergenz ist breit, aber nicht vollständig. Ein seriöses Konzept benennt die Ausnahmen:</w:t>
      </w:r>
    </w:p>
    <w:p w14:paraId="21467F8C" w14:textId="04B15623" w:rsidR="00C35408" w:rsidRDefault="001D3432">
      <w:pPr>
        <w:pStyle w:val="Listenabsatz"/>
        <w:numPr>
          <w:ilvl w:val="0"/>
          <w:numId w:val="2"/>
        </w:numPr>
        <w:spacing w:after="60" w:line="276" w:lineRule="auto"/>
      </w:pPr>
      <w:r>
        <w:rPr>
          <w:b/>
          <w:bCs/>
        </w:rPr>
        <w:t xml:space="preserve">Die Protein-/IGF-1-Achse ist altersabhängig zweischneidig. </w:t>
      </w:r>
      <w:r w:rsidR="009F14DB">
        <w:t>Ein niedriges</w:t>
      </w:r>
      <w:r>
        <w:t xml:space="preserve"> Wachstumssignal (wenig IGF-1/mTOR-Aktivierung) ist </w:t>
      </w:r>
      <w:proofErr w:type="spellStart"/>
      <w:r>
        <w:t>krebsprotektiv</w:t>
      </w:r>
      <w:proofErr w:type="spellEnd"/>
      <w:r>
        <w:t xml:space="preserve">. Im höheren Alter begünstigt </w:t>
      </w:r>
      <w:r w:rsidR="009F14DB">
        <w:t xml:space="preserve">eine sehr niedrige Proteinzufuhr jedoch Sarkopenie und </w:t>
      </w:r>
      <w:proofErr w:type="spellStart"/>
      <w:r w:rsidR="009F14DB">
        <w:t>Frailty</w:t>
      </w:r>
      <w:proofErr w:type="spellEnd"/>
      <w:r w:rsidR="009F14DB">
        <w:t xml:space="preserve"> – und </w:t>
      </w:r>
      <w:proofErr w:type="spellStart"/>
      <w:r w:rsidR="009F14DB">
        <w:t>Frailty</w:t>
      </w:r>
      <w:proofErr w:type="spellEnd"/>
      <w:r w:rsidR="009F14DB">
        <w:t xml:space="preserve"> ist </w:t>
      </w:r>
      <w:r w:rsidR="009F14DB">
        <w:lastRenderedPageBreak/>
        <w:t>ein eigenständiger Risikofaktor für kardiovaskuläre Ereignisse und die</w:t>
      </w:r>
      <w:r>
        <w:t xml:space="preserve"> Gesamtmortalität. Daher: in der Lebensmitte eher moderate, pflanzenbetonte Proteinzufuhr; im höheren Alter ausreichend Protein </w:t>
      </w:r>
      <w:r w:rsidR="009F14DB">
        <w:t>für den</w:t>
      </w:r>
      <w:r>
        <w:t xml:space="preserve"> Muskelerhalt.</w:t>
      </w:r>
    </w:p>
    <w:p w14:paraId="2897D828" w14:textId="77777777" w:rsidR="00C35408" w:rsidRDefault="001D3432">
      <w:pPr>
        <w:pStyle w:val="Listenabsatz"/>
        <w:numPr>
          <w:ilvl w:val="0"/>
          <w:numId w:val="2"/>
        </w:numPr>
        <w:spacing w:after="60" w:line="276" w:lineRule="auto"/>
      </w:pPr>
      <w:r>
        <w:rPr>
          <w:b/>
          <w:bCs/>
        </w:rPr>
        <w:t xml:space="preserve">„Niedriger ist besser“ gilt nicht grenzenlos. </w:t>
      </w:r>
      <w:r>
        <w:t>Mehrere Risikomarker zeigen U-förmige Beziehungen – sowohl Extreme schaden. Aggressive Restriktion ist kein Selbstzweck.</w:t>
      </w:r>
    </w:p>
    <w:p w14:paraId="644C3625" w14:textId="7D68FB33" w:rsidR="00C35408" w:rsidRDefault="001D3432">
      <w:pPr>
        <w:pStyle w:val="Listenabsatz"/>
        <w:numPr>
          <w:ilvl w:val="0"/>
          <w:numId w:val="2"/>
        </w:numPr>
        <w:spacing w:after="60" w:line="276" w:lineRule="auto"/>
      </w:pPr>
      <w:r>
        <w:rPr>
          <w:b/>
          <w:bCs/>
        </w:rPr>
        <w:t xml:space="preserve">Periodisierung schlägt Dauerrestriktion. </w:t>
      </w:r>
      <w:r>
        <w:t xml:space="preserve">Intermittierende Ansätze (zeitlich begrenztes Essen, periodische Reduktionsphasen) erzielen metabolischen Nutzen, ohne anabole Kapazität und Wundheilung chronisch zu </w:t>
      </w:r>
      <w:r w:rsidR="009F14DB">
        <w:t>beeinträchtigen</w:t>
      </w:r>
      <w:r>
        <w:t>.</w:t>
      </w:r>
    </w:p>
    <w:p w14:paraId="5AC60B72" w14:textId="77777777" w:rsidR="00C35408" w:rsidRDefault="001D3432">
      <w:pPr>
        <w:pStyle w:val="berschrift1"/>
      </w:pPr>
      <w:r>
        <w:t>5. Das praktische Ernährungsmuster</w:t>
      </w:r>
    </w:p>
    <w:p w14:paraId="7AB204BA" w14:textId="77777777" w:rsidR="00C35408" w:rsidRDefault="001D3432">
      <w:pPr>
        <w:spacing w:after="120" w:line="276" w:lineRule="auto"/>
      </w:pPr>
      <w:r>
        <w:t>Konkret konvergiert die Evidenz auf ein unspektakuläres, gut umsetzbares Muster – im Kern eine mediterran-pflanzliche Ausrichtung: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0"/>
        <w:gridCol w:w="6660"/>
      </w:tblGrid>
      <w:tr w:rsidR="00C35408" w14:paraId="06D06772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70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shd w:val="clear" w:color="auto" w:fill="1F386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A6C5E7D" w14:textId="77777777" w:rsidR="00C35408" w:rsidRDefault="001D3432">
            <w:r>
              <w:rPr>
                <w:b/>
                <w:bCs/>
                <w:color w:val="FFFFFF"/>
                <w:sz w:val="20"/>
                <w:szCs w:val="20"/>
              </w:rPr>
              <w:t>Baustein</w:t>
            </w:r>
          </w:p>
        </w:tc>
        <w:tc>
          <w:tcPr>
            <w:tcW w:w="666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shd w:val="clear" w:color="auto" w:fill="1F386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A71B242" w14:textId="77777777" w:rsidR="00C35408" w:rsidRDefault="001D3432">
            <w:r>
              <w:rPr>
                <w:b/>
                <w:bCs/>
                <w:color w:val="FFFFFF"/>
                <w:sz w:val="20"/>
                <w:szCs w:val="20"/>
              </w:rPr>
              <w:t>Empfehlung</w:t>
            </w:r>
          </w:p>
        </w:tc>
      </w:tr>
      <w:tr w:rsidR="00C35408" w14:paraId="161FF9AC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shd w:val="clear" w:color="auto" w:fill="EAF3E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41D2F40" w14:textId="77777777" w:rsidR="00C35408" w:rsidRDefault="001D3432">
            <w:r>
              <w:rPr>
                <w:b/>
                <w:bCs/>
              </w:rPr>
              <w:t>Basis</w:t>
            </w:r>
          </w:p>
        </w:tc>
        <w:tc>
          <w:tcPr>
            <w:tcW w:w="666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shd w:val="clear" w:color="auto" w:fill="EAF3E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EAA4B84" w14:textId="77777777" w:rsidR="00C35408" w:rsidRDefault="001D3432">
            <w:r>
              <w:t>Gemüse in Menge und Vielfalt, Hülsenfrüchte, Vollkorn (bevorzugt Sauerteig/Roggen), Nüsse, Obst. Olivenöl als Hauptfett.</w:t>
            </w:r>
          </w:p>
        </w:tc>
      </w:tr>
      <w:tr w:rsidR="00C35408" w14:paraId="2CFAA4C7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3B9F28E" w14:textId="77777777" w:rsidR="00C35408" w:rsidRDefault="001D3432">
            <w:r>
              <w:rPr>
                <w:b/>
                <w:bCs/>
              </w:rPr>
              <w:t>Tierisches Protein</w:t>
            </w:r>
          </w:p>
        </w:tc>
        <w:tc>
          <w:tcPr>
            <w:tcW w:w="666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F9B1ED4" w14:textId="77777777" w:rsidR="00C35408" w:rsidRDefault="001D3432">
            <w:r>
              <w:t>Fetter Seefisch und Geflügel als die beiden bevorzugten tierischen Quellen: Seefisch 2–3×/Woche (EPA/DHA), mageres Geflügel (Huhn, Pute) als gut verträgliches, fettarmes Protein mit schwacher Krebsassoziation. Fermentiertes Milchprodukt (Joghurt, Kefir, Skyr, gereifter Käse) in Maßen; Eier in Maßen.</w:t>
            </w:r>
          </w:p>
        </w:tc>
      </w:tr>
      <w:tr w:rsidR="00C35408" w14:paraId="1EA1CC2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shd w:val="clear" w:color="auto" w:fill="FBEAE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6902037" w14:textId="77777777" w:rsidR="00C35408" w:rsidRDefault="001D3432">
            <w:r>
              <w:rPr>
                <w:b/>
                <w:bCs/>
              </w:rPr>
              <w:t>Begrenzen</w:t>
            </w:r>
          </w:p>
        </w:tc>
        <w:tc>
          <w:tcPr>
            <w:tcW w:w="666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shd w:val="clear" w:color="auto" w:fill="FBEAE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230A11F" w14:textId="77777777" w:rsidR="00C35408" w:rsidRDefault="001D3432">
            <w:r>
              <w:t>Rotes und besonders verarbeitetes Fleisch, Alkohol, zuckerreiche Getränke und raffinierte Kohlenhydrate, Butter als Standardfett, stark verarbeitete Lebensmittel.</w:t>
            </w:r>
          </w:p>
        </w:tc>
      </w:tr>
      <w:tr w:rsidR="00C35408" w14:paraId="42636EA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02195E3" w14:textId="77777777" w:rsidR="00C35408" w:rsidRDefault="001D3432">
            <w:r>
              <w:rPr>
                <w:b/>
                <w:bCs/>
              </w:rPr>
              <w:t>Struktur</w:t>
            </w:r>
          </w:p>
        </w:tc>
        <w:tc>
          <w:tcPr>
            <w:tcW w:w="6660" w:type="dxa"/>
            <w:tcBorders>
              <w:top w:val="single" w:sz="1" w:space="0" w:color="BFBFBF"/>
              <w:left w:val="single" w:sz="1" w:space="0" w:color="BFBFBF"/>
              <w:bottom w:val="single" w:sz="1" w:space="0" w:color="BFBFBF"/>
              <w:right w:val="single" w:sz="1" w:space="0" w:color="BFBFB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3800C44" w14:textId="77777777" w:rsidR="00C35408" w:rsidRDefault="001D3432">
            <w:r>
              <w:t>Zeitlich begrenztes Essfenster (z. B. ~10–12 h), Gewichtskonstanz im gesunden Bereich, ggf. periodische Reduktionsphasen. Proteinzufuhr altersangepasst.</w:t>
            </w:r>
          </w:p>
        </w:tc>
      </w:tr>
    </w:tbl>
    <w:p w14:paraId="7B982633" w14:textId="77777777" w:rsidR="00C35408" w:rsidRDefault="001D3432">
      <w:pPr>
        <w:pStyle w:val="berschrift2"/>
      </w:pPr>
      <w:r>
        <w:t>Beispieltag (allgemein, drei Mahlzeiten)</w:t>
      </w:r>
    </w:p>
    <w:p w14:paraId="16FE5B34" w14:textId="650578EB" w:rsidR="00C35408" w:rsidRDefault="001D3432">
      <w:pPr>
        <w:spacing w:after="120" w:line="276" w:lineRule="auto"/>
      </w:pPr>
      <w:r>
        <w:rPr>
          <w:b/>
          <w:bCs/>
        </w:rPr>
        <w:t xml:space="preserve">Frühstück: </w:t>
      </w:r>
      <w:r>
        <w:t xml:space="preserve">Haferflocken mit Pflanzendrink oder Naturjoghurt, Walnüssen, Leinsamen und Beeren, </w:t>
      </w:r>
      <w:r w:rsidR="009F14DB">
        <w:t xml:space="preserve">dazu </w:t>
      </w:r>
      <w:r>
        <w:t>ein Schuss Olivenöl.</w:t>
      </w:r>
    </w:p>
    <w:p w14:paraId="36FDAA4A" w14:textId="77777777" w:rsidR="00C35408" w:rsidRDefault="001D3432">
      <w:pPr>
        <w:spacing w:after="120" w:line="276" w:lineRule="auto"/>
      </w:pPr>
      <w:r>
        <w:rPr>
          <w:b/>
          <w:bCs/>
        </w:rPr>
        <w:t xml:space="preserve">Hauptmahlzeit: </w:t>
      </w:r>
      <w:r>
        <w:t xml:space="preserve">Linsen- oder </w:t>
      </w:r>
      <w:proofErr w:type="spellStart"/>
      <w:r>
        <w:t>Kichererbsengericht</w:t>
      </w:r>
      <w:proofErr w:type="spellEnd"/>
      <w:r>
        <w:t xml:space="preserve"> mit reichlich Gemüse und Olivenöl, dazu eine Scheibe Vollkorn-Sauerteigbrot; optional etwas geriebener Hartkäse.</w:t>
      </w:r>
    </w:p>
    <w:p w14:paraId="3C7AAEE7" w14:textId="77777777" w:rsidR="00C35408" w:rsidRDefault="001D3432">
      <w:pPr>
        <w:spacing w:after="120" w:line="276" w:lineRule="auto"/>
      </w:pPr>
      <w:r>
        <w:rPr>
          <w:b/>
          <w:bCs/>
        </w:rPr>
        <w:t xml:space="preserve">Dritte Mahlzeit: </w:t>
      </w:r>
      <w:r>
        <w:t>Gegrillter Fisch (Lachs, Makrele, Sardinen) oder mageres Geflügel (Huhn, Pute) auf großem Salat mit Olivenöl und Nüssen, dazu eine Portion Vollkorn oder Hülsenfrüchte. An fleischfreien Tagen Tofu/</w:t>
      </w:r>
      <w:proofErr w:type="spellStart"/>
      <w:r>
        <w:t>Tempeh</w:t>
      </w:r>
      <w:proofErr w:type="spellEnd"/>
      <w:r>
        <w:t xml:space="preserve"> oder Eier.</w:t>
      </w:r>
    </w:p>
    <w:p w14:paraId="5CDAEE00" w14:textId="77777777" w:rsidR="009F14DB" w:rsidRDefault="009F14DB">
      <w:pPr>
        <w:pStyle w:val="berschrift1"/>
      </w:pPr>
    </w:p>
    <w:p w14:paraId="76D8EC89" w14:textId="77777777" w:rsidR="009F14DB" w:rsidRDefault="009F14DB">
      <w:pPr>
        <w:pStyle w:val="berschrift1"/>
      </w:pPr>
    </w:p>
    <w:p w14:paraId="49949B79" w14:textId="55E96BC9" w:rsidR="00C35408" w:rsidRDefault="001D3432">
      <w:pPr>
        <w:pStyle w:val="berschrift1"/>
      </w:pPr>
      <w:r>
        <w:lastRenderedPageBreak/>
        <w:t>6. Die einzige altersabhängige Anpassung: Protein jenseits der 60</w:t>
      </w:r>
    </w:p>
    <w:p w14:paraId="651D5CB4" w14:textId="7A819E94" w:rsidR="00C35408" w:rsidRDefault="001D3432">
      <w:pPr>
        <w:spacing w:after="120" w:line="276" w:lineRule="auto"/>
      </w:pPr>
      <w:r>
        <w:t xml:space="preserve">Das beschriebene Muster gilt grundsätzlich über alle </w:t>
      </w:r>
      <w:r w:rsidR="009F14DB">
        <w:t>Altersstufen</w:t>
      </w:r>
      <w:r>
        <w:t xml:space="preserve"> hinweg gleich. Die </w:t>
      </w:r>
      <w:r>
        <w:rPr>
          <w:b/>
          <w:bCs/>
        </w:rPr>
        <w:t>einzige systematische Modifikation betrifft die Proteinzufuhr im höheren Lebensalter</w:t>
      </w:r>
      <w:r>
        <w:t xml:space="preserve"> – sie folgt direkt aus der in Abschnitt 4 benannten Divergenz der Protein-/IGF-1-Achse.</w:t>
      </w:r>
    </w:p>
    <w:p w14:paraId="327A46E0" w14:textId="77777777" w:rsidR="00C35408" w:rsidRDefault="001D3432">
      <w:pPr>
        <w:spacing w:after="120" w:line="276" w:lineRule="auto"/>
      </w:pPr>
      <w:r>
        <w:rPr>
          <w:b/>
          <w:bCs/>
        </w:rPr>
        <w:t>In der Lebensmitte</w:t>
      </w:r>
      <w:r>
        <w:t xml:space="preserve"> (etwa bis 60) spricht vieles für eine moderate, überwiegend pflanzliche Proteinzufuhr: Ein niedrigeres Wachstumssignal (IGF-1/mTOR) ist in dieser Phase mit reduziertem Krebs- und Stoffwechselrisiko assoziiert.</w:t>
      </w:r>
    </w:p>
    <w:p w14:paraId="17FDBEEB" w14:textId="6182AFC7" w:rsidR="00C35408" w:rsidRDefault="001D3432">
      <w:pPr>
        <w:spacing w:after="120" w:line="276" w:lineRule="auto"/>
      </w:pPr>
      <w:r>
        <w:rPr>
          <w:b/>
          <w:bCs/>
        </w:rPr>
        <w:t>Jenseits der 60</w:t>
      </w:r>
      <w:r>
        <w:t xml:space="preserve"> </w:t>
      </w:r>
      <w:r w:rsidR="009F14DB">
        <w:t xml:space="preserve">Jahre </w:t>
      </w:r>
      <w:r>
        <w:t xml:space="preserve">kehrt sich die Abwägung: Mit dem Alter sinken die Fähigkeit zur Muskelproteinsynthese und die anabole Ansprechbarkeit (anabole Resistenz), während der Erhalt von Muskelmasse für die Vermeidung von Sarkopenie und </w:t>
      </w:r>
      <w:proofErr w:type="spellStart"/>
      <w:r>
        <w:t>Frailty</w:t>
      </w:r>
      <w:proofErr w:type="spellEnd"/>
      <w:r>
        <w:t xml:space="preserve"> entscheidend wird. </w:t>
      </w:r>
      <w:proofErr w:type="spellStart"/>
      <w:r>
        <w:t>Frailty</w:t>
      </w:r>
      <w:proofErr w:type="spellEnd"/>
      <w:r>
        <w:t xml:space="preserve"> ist ein eigenständiger Risikofaktor für kardiovaskuläre Ereignisse und </w:t>
      </w:r>
      <w:r w:rsidR="009F14DB">
        <w:t xml:space="preserve">die </w:t>
      </w:r>
      <w:r>
        <w:t xml:space="preserve">Gesamtmortalität – ein Muskelverlust würde den </w:t>
      </w:r>
      <w:proofErr w:type="spellStart"/>
      <w:r>
        <w:t>gefäßprotektiven</w:t>
      </w:r>
      <w:proofErr w:type="spellEnd"/>
      <w:r>
        <w:t xml:space="preserve"> Nutzen der Ernährung teilweise wieder zunichtemachen. Daher gilt:</w:t>
      </w:r>
    </w:p>
    <w:p w14:paraId="7C91F20B" w14:textId="77777777" w:rsidR="00C35408" w:rsidRDefault="001D3432">
      <w:pPr>
        <w:pStyle w:val="Listenabsatz"/>
        <w:numPr>
          <w:ilvl w:val="0"/>
          <w:numId w:val="2"/>
        </w:numPr>
        <w:spacing w:after="60" w:line="276" w:lineRule="auto"/>
      </w:pPr>
      <w:r>
        <w:rPr>
          <w:b/>
          <w:bCs/>
        </w:rPr>
        <w:t xml:space="preserve">Proteinzufuhr im Alter eher anheben </w:t>
      </w:r>
      <w:r>
        <w:t>(in der geriatrischen Ernährungsmedizin häufig genannte Größenordnung: rund 1,0–1,2 g/kg Körpergewicht pro Tag, bei akuter Erkrankung mehr), statt sie weiter zu restringieren.</w:t>
      </w:r>
    </w:p>
    <w:p w14:paraId="05FF8470" w14:textId="77777777" w:rsidR="00C35408" w:rsidRDefault="001D3432">
      <w:pPr>
        <w:pStyle w:val="Listenabsatz"/>
        <w:numPr>
          <w:ilvl w:val="0"/>
          <w:numId w:val="2"/>
        </w:numPr>
        <w:spacing w:after="60" w:line="276" w:lineRule="auto"/>
      </w:pPr>
      <w:r>
        <w:rPr>
          <w:b/>
          <w:bCs/>
        </w:rPr>
        <w:t xml:space="preserve">Proteinquellen aufwerten: </w:t>
      </w:r>
      <w:r>
        <w:t>Fisch und Geflügel gewinnen an Bedeutung; auch Eier und fermentierte Milchprodukte sind sinnvolle, gut verträgliche Quellen. Die Bedenken gegen ein hohes Wachstumssignal treten gegenüber dem Muskelerhalt in den Hintergrund.</w:t>
      </w:r>
    </w:p>
    <w:p w14:paraId="36887AA7" w14:textId="77777777" w:rsidR="00C35408" w:rsidRDefault="001D3432">
      <w:pPr>
        <w:pStyle w:val="Listenabsatz"/>
        <w:numPr>
          <w:ilvl w:val="0"/>
          <w:numId w:val="2"/>
        </w:numPr>
        <w:spacing w:after="60" w:line="276" w:lineRule="auto"/>
      </w:pPr>
      <w:r>
        <w:rPr>
          <w:b/>
          <w:bCs/>
        </w:rPr>
        <w:t xml:space="preserve">Protein über den Tag verteilen und mit Bewegung koppeln: </w:t>
      </w:r>
      <w:r>
        <w:t>mehrere proteinhaltige Mahlzeiten und insbesondere Krafttraining steigern die anabole Wirkung – der wirksamste Hebel gegen Sarkopenie überhaupt.</w:t>
      </w:r>
    </w:p>
    <w:p w14:paraId="2CD63AD3" w14:textId="77777777" w:rsidR="00C35408" w:rsidRDefault="001D3432">
      <w:pPr>
        <w:spacing w:after="120" w:line="276" w:lineRule="auto"/>
      </w:pPr>
      <w:r>
        <w:rPr>
          <w:i/>
          <w:iCs/>
        </w:rPr>
        <w:t>Wichtig: Bei eingeschränkter Nierenfunktion oder anderen Vorerkrankungen ist die Proteinmenge individuell ärztlich anzupassen – die hier genannten Größenordnungen gelten für gesunde Ältere.</w:t>
      </w:r>
    </w:p>
    <w:p w14:paraId="319B888B" w14:textId="77777777" w:rsidR="00C35408" w:rsidRDefault="001D3432">
      <w:pPr>
        <w:pStyle w:val="berschrift1"/>
      </w:pPr>
      <w:r>
        <w:t>7. Die Rolle von Obst</w:t>
      </w:r>
    </w:p>
    <w:p w14:paraId="36D218CF" w14:textId="77777777" w:rsidR="00C35408" w:rsidRDefault="001D3432">
      <w:pPr>
        <w:spacing w:after="120" w:line="276" w:lineRule="auto"/>
      </w:pPr>
      <w:r>
        <w:t>Obst ist in diesem Konzept kein Randthema, sondern ein tragender Baustein – mit einer wichtigen Präzisierung.</w:t>
      </w:r>
    </w:p>
    <w:p w14:paraId="350E8EA6" w14:textId="68B5B841" w:rsidR="00C35408" w:rsidRDefault="001D3432">
      <w:pPr>
        <w:spacing w:after="120" w:line="276" w:lineRule="auto"/>
      </w:pPr>
      <w:r>
        <w:rPr>
          <w:b/>
          <w:bCs/>
        </w:rPr>
        <w:t xml:space="preserve">Warum Obst dazugehört: </w:t>
      </w:r>
      <w:r>
        <w:t xml:space="preserve">Ganzes Obst liefert genau die Komponenten, die auf beide Krankheitsfelder </w:t>
      </w:r>
      <w:r w:rsidR="009F14DB">
        <w:t>einwirken</w:t>
      </w:r>
      <w:r>
        <w:t xml:space="preserve"> – Ballaststoffe (metabolisch und kolorektal-präventiv), Polyphenole und Flavonoide (antioxidativ und entzündungssenkend), Kalium und Vitamine (gefäß- und blutdruckgünstig). Beerenobst (Anthocyane) und Zitrusfrüchte (Flavonoide) sind dabei besonders </w:t>
      </w:r>
      <w:r w:rsidR="009F14DB">
        <w:t>reich</w:t>
      </w:r>
      <w:r>
        <w:t xml:space="preserve"> an bioaktiven Stoffen. Ein hoher Verzehr von Obst und Gemüse gehört zu den am besten gestützten Ernährungsfaktoren für ein niedrigeres Risiko sowohl kardiovaskulärer Erkrankungen als auch mehrerer Krebsarten.</w:t>
      </w:r>
    </w:p>
    <w:p w14:paraId="0A833ACB" w14:textId="34222FAC" w:rsidR="00C35408" w:rsidRDefault="001D3432">
      <w:pPr>
        <w:spacing w:after="120" w:line="276" w:lineRule="auto"/>
      </w:pPr>
      <w:r>
        <w:rPr>
          <w:b/>
          <w:bCs/>
        </w:rPr>
        <w:t xml:space="preserve">Die entscheidende Präzisierung – ganzes Obst, nicht Saft: </w:t>
      </w:r>
      <w:r>
        <w:t xml:space="preserve">Der Fruchtzucker im ganzen Obst ist in die Ballaststoffmatrix eingebettet und wird langsam aufgenommen; die glykämische Last ist daher trotz </w:t>
      </w:r>
      <w:r w:rsidR="009F14DB">
        <w:t>des Zuckergehalts</w:t>
      </w:r>
      <w:r>
        <w:t xml:space="preserve"> moderat. Fruchtsäfte und Smoothies dagegen entfernen </w:t>
      </w:r>
      <w:r>
        <w:lastRenderedPageBreak/>
        <w:t xml:space="preserve">oder zerstören diese Matrix – sie verhalten sich eher wie zuckerhaltige Getränke und sind aus metabolischer Sicht ungünstig. Der häufige Fehlschluss „Obst ist gesund, also ist auch Saft gesund“ ist </w:t>
      </w:r>
      <w:r w:rsidR="009F14DB">
        <w:t>unbedingt</w:t>
      </w:r>
      <w:r>
        <w:t xml:space="preserve"> zu vermeiden.</w:t>
      </w:r>
    </w:p>
    <w:p w14:paraId="677331F8" w14:textId="03654A25" w:rsidR="00C35408" w:rsidRDefault="001D3432">
      <w:pPr>
        <w:spacing w:after="120" w:line="276" w:lineRule="auto"/>
      </w:pPr>
      <w:r>
        <w:rPr>
          <w:b/>
          <w:bCs/>
        </w:rPr>
        <w:t xml:space="preserve">Praktische Einordnung: </w:t>
      </w:r>
      <w:r>
        <w:t xml:space="preserve">Mehrere Portionen </w:t>
      </w:r>
      <w:r w:rsidR="009F14DB">
        <w:t>von ganzem</w:t>
      </w:r>
      <w:r>
        <w:t xml:space="preserve"> Obst pro Tag, möglichst farblich vielfältig, bevorzugt Beeren; Saft und Smoothies nur in kleinen Mengen und nicht als Getränkeersatz. Bei Diabetes oder ausgeprägter Insulinresistenz die Portionsgröße und -verteilung beachten – ganzes Obst bleibt aber auch dann empfehlenswert.</w:t>
      </w:r>
    </w:p>
    <w:p w14:paraId="4950E816" w14:textId="77777777" w:rsidR="00C35408" w:rsidRDefault="001D3432">
      <w:pPr>
        <w:pStyle w:val="berschrift1"/>
      </w:pPr>
      <w:r>
        <w:t>8. Fazit</w:t>
      </w:r>
    </w:p>
    <w:p w14:paraId="3FE46A89" w14:textId="1C0AD737" w:rsidR="00C35408" w:rsidRDefault="001D3432">
      <w:pPr>
        <w:spacing w:after="120" w:line="276" w:lineRule="auto"/>
      </w:pPr>
      <w:r>
        <w:t xml:space="preserve">Die gemeinsame Biologie aus Entzündung, Endotheldysfunktion, Insulinresistenz, oxidativem Stress und </w:t>
      </w:r>
      <w:proofErr w:type="spellStart"/>
      <w:r w:rsidR="009F14DB">
        <w:t>Wachstumssignalierung</w:t>
      </w:r>
      <w:proofErr w:type="spellEnd"/>
      <w:r>
        <w:t xml:space="preserve"> erklärt, warum dieselben Maßnahmen Krebs- und Gefäßrisiko gemeinsam senken. Die praktische Botschaft ist robust und einfach: </w:t>
      </w:r>
      <w:r>
        <w:rPr>
          <w:b/>
          <w:bCs/>
        </w:rPr>
        <w:t>eine überwiegend pflanzliche, ballaststoff- und obstreiche, gewichtsstabile Ernährung mit Olivenöl, Fisch und Geflügel statt verarbeitetem Fleisch und Alkohol, eingebettet in körperliche Aktivität.</w:t>
      </w:r>
      <w:r>
        <w:t xml:space="preserve"> Die einzige </w:t>
      </w:r>
      <w:r w:rsidR="009F14DB">
        <w:t>altersabhängige systematische Anpassung ist</w:t>
      </w:r>
      <w:r>
        <w:t>: Jenseits der 60 tritt der Muskelerhalt in den Vordergrund, sodass die Proteinzufuhr eher angehoben als restringiert wird. Wo die These an Grenzen stößt – vor allem bei dieser Protein-/IGF-1-Achse – ist Differenzierung statt Maximierung gefragt.</w:t>
      </w:r>
    </w:p>
    <w:sectPr w:rsidR="00C35408">
      <w:footerReference w:type="default" r:id="rId7"/>
      <w:pgSz w:w="12240" w:h="15840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E7D4E3" w14:textId="77777777" w:rsidR="001D3432" w:rsidRDefault="001D3432">
      <w:r>
        <w:separator/>
      </w:r>
    </w:p>
  </w:endnote>
  <w:endnote w:type="continuationSeparator" w:id="0">
    <w:p w14:paraId="345FBC45" w14:textId="77777777" w:rsidR="001D3432" w:rsidRDefault="001D34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A07CD5" w14:textId="77777777" w:rsidR="00C35408" w:rsidRDefault="001D3432">
    <w:pPr>
      <w:pBdr>
        <w:top w:val="single" w:sz="4" w:space="6" w:color="D9E2F3"/>
        <w:left w:val="none" w:sz="0" w:space="0" w:color="FFFFFF"/>
        <w:bottom w:val="none" w:sz="0" w:space="0" w:color="FFFFFF"/>
        <w:right w:val="none" w:sz="0" w:space="0" w:color="FFFFFF"/>
      </w:pBdr>
      <w:jc w:val="center"/>
    </w:pPr>
    <w:r>
      <w:rPr>
        <w:color w:val="595959"/>
        <w:sz w:val="16"/>
        <w:szCs w:val="16"/>
      </w:rPr>
      <w:t xml:space="preserve">Was gegen Krebs schützt, schützt auch die </w:t>
    </w:r>
    <w:proofErr w:type="gramStart"/>
    <w:r>
      <w:rPr>
        <w:color w:val="595959"/>
        <w:sz w:val="16"/>
        <w:szCs w:val="16"/>
      </w:rPr>
      <w:t>Gefäße  ·</w:t>
    </w:r>
    <w:proofErr w:type="gramEnd"/>
    <w:r>
      <w:rPr>
        <w:color w:val="595959"/>
        <w:sz w:val="16"/>
        <w:szCs w:val="16"/>
      </w:rPr>
      <w:t xml:space="preserve">  allgemeines Rahmenkonzept, kein individuelles </w:t>
    </w:r>
    <w:proofErr w:type="gramStart"/>
    <w:r>
      <w:rPr>
        <w:color w:val="595959"/>
        <w:sz w:val="16"/>
        <w:szCs w:val="16"/>
      </w:rPr>
      <w:t>Behandlungsprotokoll  ·</w:t>
    </w:r>
    <w:proofErr w:type="gramEnd"/>
    <w:r>
      <w:rPr>
        <w:color w:val="595959"/>
        <w:sz w:val="16"/>
        <w:szCs w:val="16"/>
      </w:rPr>
      <w:t xml:space="preserve">  Seite </w:t>
    </w:r>
    <w:r>
      <w:rPr>
        <w:color w:val="595959"/>
        <w:sz w:val="16"/>
        <w:szCs w:val="16"/>
      </w:rPr>
      <w:fldChar w:fldCharType="begin"/>
    </w:r>
    <w:r>
      <w:rPr>
        <w:color w:val="595959"/>
        <w:sz w:val="16"/>
        <w:szCs w:val="16"/>
      </w:rPr>
      <w:instrText>PAGE</w:instrText>
    </w:r>
    <w:r>
      <w:rPr>
        <w:color w:val="595959"/>
        <w:sz w:val="16"/>
        <w:szCs w:val="16"/>
      </w:rPr>
      <w:fldChar w:fldCharType="separate"/>
    </w:r>
    <w:r w:rsidR="009F14DB">
      <w:rPr>
        <w:noProof/>
        <w:color w:val="595959"/>
        <w:sz w:val="16"/>
        <w:szCs w:val="16"/>
      </w:rPr>
      <w:t>1</w:t>
    </w:r>
    <w:r>
      <w:rPr>
        <w:color w:val="595959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9C2A09" w14:textId="77777777" w:rsidR="001D3432" w:rsidRDefault="001D3432">
      <w:r>
        <w:separator/>
      </w:r>
    </w:p>
  </w:footnote>
  <w:footnote w:type="continuationSeparator" w:id="0">
    <w:p w14:paraId="33BE63A0" w14:textId="77777777" w:rsidR="001D3432" w:rsidRDefault="001D34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4240B9"/>
    <w:multiLevelType w:val="hybridMultilevel"/>
    <w:tmpl w:val="A00EC7DE"/>
    <w:lvl w:ilvl="0" w:tplc="2ED2B8E0">
      <w:start w:val="1"/>
      <w:numFmt w:val="bullet"/>
      <w:lvlText w:val="●"/>
      <w:lvlJc w:val="left"/>
      <w:pPr>
        <w:ind w:left="720" w:hanging="360"/>
      </w:pPr>
    </w:lvl>
    <w:lvl w:ilvl="1" w:tplc="167CE7A0">
      <w:start w:val="1"/>
      <w:numFmt w:val="bullet"/>
      <w:lvlText w:val="○"/>
      <w:lvlJc w:val="left"/>
      <w:pPr>
        <w:ind w:left="1440" w:hanging="360"/>
      </w:pPr>
    </w:lvl>
    <w:lvl w:ilvl="2" w:tplc="82103AEE">
      <w:start w:val="1"/>
      <w:numFmt w:val="bullet"/>
      <w:lvlText w:val="■"/>
      <w:lvlJc w:val="left"/>
      <w:pPr>
        <w:ind w:left="2160" w:hanging="360"/>
      </w:pPr>
    </w:lvl>
    <w:lvl w:ilvl="3" w:tplc="0AAE2114">
      <w:start w:val="1"/>
      <w:numFmt w:val="bullet"/>
      <w:lvlText w:val="●"/>
      <w:lvlJc w:val="left"/>
      <w:pPr>
        <w:ind w:left="2880" w:hanging="360"/>
      </w:pPr>
    </w:lvl>
    <w:lvl w:ilvl="4" w:tplc="62C21A28">
      <w:start w:val="1"/>
      <w:numFmt w:val="bullet"/>
      <w:lvlText w:val="○"/>
      <w:lvlJc w:val="left"/>
      <w:pPr>
        <w:ind w:left="3600" w:hanging="360"/>
      </w:pPr>
    </w:lvl>
    <w:lvl w:ilvl="5" w:tplc="DA3A63B2">
      <w:start w:val="1"/>
      <w:numFmt w:val="bullet"/>
      <w:lvlText w:val="■"/>
      <w:lvlJc w:val="left"/>
      <w:pPr>
        <w:ind w:left="4320" w:hanging="360"/>
      </w:pPr>
    </w:lvl>
    <w:lvl w:ilvl="6" w:tplc="406E4168">
      <w:start w:val="1"/>
      <w:numFmt w:val="bullet"/>
      <w:lvlText w:val="●"/>
      <w:lvlJc w:val="left"/>
      <w:pPr>
        <w:ind w:left="5040" w:hanging="360"/>
      </w:pPr>
    </w:lvl>
    <w:lvl w:ilvl="7" w:tplc="B76634B4">
      <w:start w:val="1"/>
      <w:numFmt w:val="bullet"/>
      <w:lvlText w:val="●"/>
      <w:lvlJc w:val="left"/>
      <w:pPr>
        <w:ind w:left="5760" w:hanging="360"/>
      </w:pPr>
    </w:lvl>
    <w:lvl w:ilvl="8" w:tplc="29F6151E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5D624AA8"/>
    <w:multiLevelType w:val="hybridMultilevel"/>
    <w:tmpl w:val="8FE6D2D2"/>
    <w:lvl w:ilvl="0" w:tplc="807ED606">
      <w:start w:val="1"/>
      <w:numFmt w:val="bullet"/>
      <w:lvlText w:val="•"/>
      <w:lvlJc w:val="left"/>
      <w:pPr>
        <w:ind w:left="540" w:hanging="280"/>
      </w:pPr>
    </w:lvl>
    <w:lvl w:ilvl="1" w:tplc="58E2605E">
      <w:numFmt w:val="decimal"/>
      <w:lvlText w:val=""/>
      <w:lvlJc w:val="left"/>
    </w:lvl>
    <w:lvl w:ilvl="2" w:tplc="63285078">
      <w:numFmt w:val="decimal"/>
      <w:lvlText w:val=""/>
      <w:lvlJc w:val="left"/>
    </w:lvl>
    <w:lvl w:ilvl="3" w:tplc="5DA03F8A">
      <w:numFmt w:val="decimal"/>
      <w:lvlText w:val=""/>
      <w:lvlJc w:val="left"/>
    </w:lvl>
    <w:lvl w:ilvl="4" w:tplc="250C8A10">
      <w:numFmt w:val="decimal"/>
      <w:lvlText w:val=""/>
      <w:lvlJc w:val="left"/>
    </w:lvl>
    <w:lvl w:ilvl="5" w:tplc="F5BA8DCA">
      <w:numFmt w:val="decimal"/>
      <w:lvlText w:val=""/>
      <w:lvlJc w:val="left"/>
    </w:lvl>
    <w:lvl w:ilvl="6" w:tplc="2B3634F6">
      <w:numFmt w:val="decimal"/>
      <w:lvlText w:val=""/>
      <w:lvlJc w:val="left"/>
    </w:lvl>
    <w:lvl w:ilvl="7" w:tplc="33D6E9C6">
      <w:numFmt w:val="decimal"/>
      <w:lvlText w:val=""/>
      <w:lvlJc w:val="left"/>
    </w:lvl>
    <w:lvl w:ilvl="8" w:tplc="0C9C0432">
      <w:numFmt w:val="decimal"/>
      <w:lvlText w:val=""/>
      <w:lvlJc w:val="left"/>
    </w:lvl>
  </w:abstractNum>
  <w:num w:numId="1" w16cid:durableId="879320090">
    <w:abstractNumId w:val="0"/>
    <w:lvlOverride w:ilvl="0">
      <w:startOverride w:val="1"/>
    </w:lvlOverride>
  </w:num>
  <w:num w:numId="2" w16cid:durableId="1624724250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5408"/>
    <w:rsid w:val="001D3432"/>
    <w:rsid w:val="002F2003"/>
    <w:rsid w:val="009F14DB"/>
    <w:rsid w:val="00C35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D9B89"/>
  <w15:docId w15:val="{16F59F9B-5439-4C55-ACDA-1EB1410E7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pBdr>
        <w:top w:val="none" w:sz="0" w:space="0" w:color="FFFFFF"/>
        <w:left w:val="none" w:sz="0" w:space="0" w:color="FFFFFF"/>
        <w:bottom w:val="single" w:sz="4" w:space="4" w:color="D9E2F3"/>
        <w:right w:val="none" w:sz="0" w:space="0" w:color="FFFFFF"/>
      </w:pBdr>
      <w:spacing w:before="320" w:after="160"/>
      <w:outlineLvl w:val="0"/>
    </w:pPr>
    <w:rPr>
      <w:b/>
      <w:bCs/>
      <w:color w:val="1F3864"/>
      <w:sz w:val="28"/>
      <w:szCs w:val="28"/>
    </w:rPr>
  </w:style>
  <w:style w:type="paragraph" w:styleId="berschrift2">
    <w:name w:val="heading 2"/>
    <w:uiPriority w:val="9"/>
    <w:unhideWhenUsed/>
    <w:qFormat/>
    <w:pPr>
      <w:spacing w:before="200" w:after="120"/>
      <w:outlineLvl w:val="1"/>
    </w:pPr>
    <w:rPr>
      <w:b/>
      <w:bCs/>
      <w:color w:val="2E75B6"/>
      <w:sz w:val="24"/>
      <w:szCs w:val="24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  <w:rPr>
      <w:sz w:val="20"/>
      <w:szCs w:val="20"/>
    </w:rPr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  <w:rPr>
      <w:sz w:val="20"/>
      <w:szCs w:val="20"/>
    </w:rPr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1276</Words>
  <Characters>9690</Characters>
  <Application>Microsoft Office Word</Application>
  <DocSecurity>0</DocSecurity>
  <Lines>206</Lines>
  <Paragraphs>80</Paragraphs>
  <ScaleCrop>false</ScaleCrop>
  <Company/>
  <LinksUpToDate>false</LinksUpToDate>
  <CharactersWithSpaces>10886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Was gegen Krebs schützt, schützt auch die Gefäße</dc:title>
  <dc:creator>Claude</dc:creator>
  <cp:lastModifiedBy>Ralf Kolvenbach</cp:lastModifiedBy>
  <cp:revision>2</cp:revision>
  <dcterms:created xsi:type="dcterms:W3CDTF">2026-06-06T18:50:00Z</dcterms:created>
  <dcterms:modified xsi:type="dcterms:W3CDTF">2026-06-06T18:50:00Z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5fe68ba6-4499-4b9b-ab7a-865224cebb39</vt:lpwstr>
  </property>
</Properties>
</file>